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83" w:rsidRPr="00D440BD" w:rsidRDefault="002A1483" w:rsidP="00470A93">
      <w:pPr>
        <w:autoSpaceDE w:val="0"/>
        <w:autoSpaceDN w:val="0"/>
        <w:adjustRightInd w:val="0"/>
        <w:spacing w:after="120"/>
        <w:ind w:left="1069"/>
        <w:jc w:val="center"/>
        <w:rPr>
          <w:b/>
          <w:lang w:val="en-US"/>
        </w:rPr>
      </w:pPr>
      <w:r w:rsidRPr="00D440BD">
        <w:rPr>
          <w:b/>
          <w:lang w:val="en-US"/>
        </w:rPr>
        <w:t>A</w:t>
      </w:r>
      <w:r w:rsidR="007357D8" w:rsidRPr="00D440BD">
        <w:rPr>
          <w:b/>
          <w:lang w:val="en-US"/>
        </w:rPr>
        <w:t>n</w:t>
      </w:r>
      <w:r w:rsidRPr="00D440BD">
        <w:rPr>
          <w:b/>
          <w:lang w:val="en-US"/>
        </w:rPr>
        <w:t>nex 1</w:t>
      </w:r>
    </w:p>
    <w:p w:rsidR="007357D8" w:rsidRPr="00D440BD" w:rsidRDefault="007357D8" w:rsidP="007357D8">
      <w:pPr>
        <w:autoSpaceDE w:val="0"/>
        <w:autoSpaceDN w:val="0"/>
        <w:adjustRightInd w:val="0"/>
        <w:spacing w:after="200"/>
        <w:jc w:val="center"/>
        <w:rPr>
          <w:b/>
          <w:bCs/>
          <w:lang w:val="en-US"/>
        </w:rPr>
      </w:pPr>
      <w:r w:rsidRPr="00D440BD">
        <w:rPr>
          <w:b/>
          <w:bCs/>
          <w:lang w:val="en-US"/>
        </w:rPr>
        <w:t xml:space="preserve">Multicenter research project to identify and review the quantitative and qualitative supply of </w:t>
      </w:r>
      <w:r w:rsidRPr="00D440BD">
        <w:rPr>
          <w:b/>
          <w:bCs/>
          <w:lang w:val="en-US"/>
        </w:rPr>
        <w:t>health</w:t>
      </w:r>
      <w:r w:rsidRPr="00D440BD">
        <w:rPr>
          <w:b/>
          <w:bCs/>
          <w:lang w:val="en-US"/>
        </w:rPr>
        <w:t xml:space="preserve"> technical workers education in </w:t>
      </w:r>
      <w:r w:rsidRPr="00D440BD">
        <w:rPr>
          <w:b/>
          <w:bCs/>
          <w:lang w:val="en-US"/>
        </w:rPr>
        <w:t>member</w:t>
      </w:r>
      <w:r w:rsidRPr="00D440BD">
        <w:rPr>
          <w:b/>
          <w:bCs/>
          <w:lang w:val="en-US"/>
        </w:rPr>
        <w:t xml:space="preserve"> countries of the RETS</w:t>
      </w:r>
    </w:p>
    <w:p w:rsidR="002A1483" w:rsidRPr="00D440BD" w:rsidRDefault="007357D8" w:rsidP="00470A93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lang w:val="en-US"/>
        </w:rPr>
      </w:pPr>
      <w:r w:rsidRPr="00D440BD">
        <w:rPr>
          <w:b/>
          <w:bCs/>
          <w:lang w:val="en-US"/>
        </w:rPr>
        <w:t xml:space="preserve">General </w:t>
      </w:r>
      <w:r w:rsidR="002A1483" w:rsidRPr="00D440BD">
        <w:rPr>
          <w:b/>
          <w:bCs/>
          <w:lang w:val="en-US"/>
        </w:rPr>
        <w:t>Obje</w:t>
      </w:r>
      <w:r w:rsidRPr="00D440BD">
        <w:rPr>
          <w:b/>
          <w:bCs/>
          <w:lang w:val="en-US"/>
        </w:rPr>
        <w:t>c</w:t>
      </w:r>
      <w:r w:rsidR="002A1483" w:rsidRPr="00D440BD">
        <w:rPr>
          <w:b/>
          <w:bCs/>
          <w:lang w:val="en-US"/>
        </w:rPr>
        <w:t>tiv</w:t>
      </w:r>
      <w:r w:rsidRPr="00D440BD">
        <w:rPr>
          <w:b/>
          <w:bCs/>
          <w:lang w:val="en-US"/>
        </w:rPr>
        <w:t>e</w:t>
      </w:r>
      <w:r w:rsidR="002A1483" w:rsidRPr="00D440BD">
        <w:rPr>
          <w:b/>
          <w:bCs/>
          <w:lang w:val="en-US"/>
        </w:rPr>
        <w:t>:</w:t>
      </w:r>
    </w:p>
    <w:p w:rsidR="007357D8" w:rsidRPr="00D440BD" w:rsidRDefault="007357D8" w:rsidP="007357D8">
      <w:pPr>
        <w:autoSpaceDE w:val="0"/>
        <w:autoSpaceDN w:val="0"/>
        <w:adjustRightInd w:val="0"/>
        <w:spacing w:after="200"/>
        <w:ind w:firstLine="709"/>
        <w:jc w:val="both"/>
        <w:rPr>
          <w:lang w:val="en-US"/>
        </w:rPr>
      </w:pPr>
      <w:r w:rsidRPr="00D440BD">
        <w:rPr>
          <w:lang w:val="en-US"/>
        </w:rPr>
        <w:t xml:space="preserve">To identify and review the quantitative and qualitative supply of </w:t>
      </w:r>
      <w:r w:rsidRPr="00D440BD">
        <w:rPr>
          <w:lang w:val="en-US"/>
        </w:rPr>
        <w:t xml:space="preserve">health </w:t>
      </w:r>
      <w:r w:rsidRPr="00D440BD">
        <w:rPr>
          <w:lang w:val="en-US"/>
        </w:rPr>
        <w:t>technical workers training in countries seeking to improve health technical workers’ education, in order to strengthen their own national public health care systems.</w:t>
      </w:r>
    </w:p>
    <w:p w:rsidR="002A1483" w:rsidRPr="00D440BD" w:rsidRDefault="007357D8" w:rsidP="00470A93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lang w:val="en-US"/>
        </w:rPr>
      </w:pPr>
      <w:r w:rsidRPr="00D440BD">
        <w:rPr>
          <w:b/>
          <w:bCs/>
          <w:lang w:val="en-US"/>
        </w:rPr>
        <w:t xml:space="preserve">Specific </w:t>
      </w:r>
      <w:r w:rsidR="002A1483" w:rsidRPr="00D440BD">
        <w:rPr>
          <w:b/>
          <w:bCs/>
          <w:lang w:val="en-US"/>
        </w:rPr>
        <w:t>Obje</w:t>
      </w:r>
      <w:r w:rsidRPr="00D440BD">
        <w:rPr>
          <w:b/>
          <w:bCs/>
          <w:lang w:val="en-US"/>
        </w:rPr>
        <w:t>c</w:t>
      </w:r>
      <w:r w:rsidR="002A1483" w:rsidRPr="00D440BD">
        <w:rPr>
          <w:b/>
          <w:bCs/>
          <w:lang w:val="en-US"/>
        </w:rPr>
        <w:t>tiv</w:t>
      </w:r>
      <w:r w:rsidRPr="00D440BD">
        <w:rPr>
          <w:b/>
          <w:bCs/>
          <w:lang w:val="en-US"/>
        </w:rPr>
        <w:t>es</w:t>
      </w:r>
      <w:r w:rsidR="002A1483" w:rsidRPr="00D440BD">
        <w:rPr>
          <w:b/>
          <w:bCs/>
          <w:lang w:val="en-US"/>
        </w:rPr>
        <w:t>:</w:t>
      </w:r>
    </w:p>
    <w:p w:rsidR="007357D8" w:rsidRPr="00D440BD" w:rsidRDefault="002A1483" w:rsidP="00470A93">
      <w:pPr>
        <w:pStyle w:val="Recuodecorpodetexto3"/>
        <w:spacing w:after="120" w:line="240" w:lineRule="auto"/>
        <w:rPr>
          <w:lang w:val="en-US"/>
        </w:rPr>
      </w:pPr>
      <w:r w:rsidRPr="00D440BD">
        <w:rPr>
          <w:lang w:val="en-US"/>
        </w:rPr>
        <w:t xml:space="preserve">a) </w:t>
      </w:r>
      <w:r w:rsidR="007357D8" w:rsidRPr="00D440BD">
        <w:rPr>
          <w:lang w:val="en-US"/>
        </w:rPr>
        <w:t>To identify the number of courses (types and modalities), professional qualifications, offering institutions, vacancies, enrollments and graduates of health technical education in the participating countries.</w:t>
      </w:r>
    </w:p>
    <w:p w:rsidR="007357D8" w:rsidRPr="00D440BD" w:rsidRDefault="002A1483" w:rsidP="00470A93">
      <w:pPr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 w:rsidRPr="00D440BD">
        <w:rPr>
          <w:lang w:val="en-US"/>
        </w:rPr>
        <w:t xml:space="preserve">b) </w:t>
      </w:r>
      <w:r w:rsidR="007357D8" w:rsidRPr="00D440BD">
        <w:rPr>
          <w:lang w:val="en-US"/>
        </w:rPr>
        <w:t xml:space="preserve">To identify the theoretical and methodological guidelines and the organization's material basis and curriculum development of </w:t>
      </w:r>
      <w:r w:rsidR="00A24EC7" w:rsidRPr="00D440BD">
        <w:rPr>
          <w:lang w:val="en-US"/>
        </w:rPr>
        <w:t xml:space="preserve">professional </w:t>
      </w:r>
      <w:r w:rsidR="007357D8" w:rsidRPr="00D440BD">
        <w:rPr>
          <w:lang w:val="en-US"/>
        </w:rPr>
        <w:t>education in the participating countries.</w:t>
      </w:r>
    </w:p>
    <w:p w:rsidR="00417AB4" w:rsidRPr="00D440BD" w:rsidRDefault="002A1483" w:rsidP="00417AB4">
      <w:pPr>
        <w:autoSpaceDE w:val="0"/>
        <w:autoSpaceDN w:val="0"/>
        <w:adjustRightInd w:val="0"/>
        <w:spacing w:after="200"/>
        <w:ind w:firstLine="709"/>
        <w:jc w:val="both"/>
        <w:rPr>
          <w:lang w:val="en-US"/>
        </w:rPr>
      </w:pPr>
      <w:r w:rsidRPr="00D440BD">
        <w:rPr>
          <w:lang w:val="en-US"/>
        </w:rPr>
        <w:t xml:space="preserve">c) </w:t>
      </w:r>
      <w:r w:rsidR="00417AB4" w:rsidRPr="00D440BD">
        <w:rPr>
          <w:lang w:val="en-US"/>
        </w:rPr>
        <w:t xml:space="preserve">To make a general characterization of health, education and work </w:t>
      </w:r>
      <w:r w:rsidR="00417AB4" w:rsidRPr="00D440BD">
        <w:rPr>
          <w:lang w:val="en-US"/>
        </w:rPr>
        <w:t>policies</w:t>
      </w:r>
      <w:r w:rsidR="00417AB4" w:rsidRPr="00D440BD">
        <w:rPr>
          <w:lang w:val="en-US"/>
        </w:rPr>
        <w:t xml:space="preserve"> of the participating countries with a view to allowing </w:t>
      </w:r>
      <w:r w:rsidR="002C3EED">
        <w:rPr>
          <w:lang w:val="en-US"/>
        </w:rPr>
        <w:t xml:space="preserve">an </w:t>
      </w:r>
      <w:r w:rsidR="00417AB4" w:rsidRPr="00D440BD">
        <w:rPr>
          <w:lang w:val="en-US"/>
        </w:rPr>
        <w:t xml:space="preserve">initial comparative approach between them, in order </w:t>
      </w:r>
      <w:r w:rsidR="00417AB4" w:rsidRPr="00D440BD">
        <w:rPr>
          <w:lang w:val="en-US"/>
        </w:rPr>
        <w:t>to</w:t>
      </w:r>
      <w:r w:rsidR="00417AB4" w:rsidRPr="00D440BD">
        <w:rPr>
          <w:lang w:val="en-US"/>
        </w:rPr>
        <w:t xml:space="preserve"> subsequently establish relations between national and “regional” </w:t>
      </w:r>
      <w:r w:rsidR="00417AB4" w:rsidRPr="00D440BD">
        <w:rPr>
          <w:lang w:val="en-US"/>
        </w:rPr>
        <w:t>policies</w:t>
      </w:r>
      <w:r w:rsidR="00417AB4" w:rsidRPr="00D440BD">
        <w:rPr>
          <w:lang w:val="en-US"/>
        </w:rPr>
        <w:t xml:space="preserve">, highlighting the </w:t>
      </w:r>
      <w:r w:rsidR="00417AB4" w:rsidRPr="00D440BD">
        <w:rPr>
          <w:lang w:val="en-US"/>
        </w:rPr>
        <w:t xml:space="preserve">national and international </w:t>
      </w:r>
      <w:r w:rsidR="00417AB4" w:rsidRPr="00D440BD">
        <w:rPr>
          <w:lang w:val="en-US"/>
        </w:rPr>
        <w:t>opportunities and challenges of Health T</w:t>
      </w:r>
      <w:r w:rsidR="00417AB4" w:rsidRPr="00D440BD">
        <w:rPr>
          <w:lang w:val="en-US"/>
        </w:rPr>
        <w:t>echnicians</w:t>
      </w:r>
      <w:r w:rsidR="00417AB4" w:rsidRPr="00D440BD">
        <w:rPr>
          <w:lang w:val="en-US"/>
        </w:rPr>
        <w:t xml:space="preserve"> Education.</w:t>
      </w:r>
    </w:p>
    <w:p w:rsidR="002A1483" w:rsidRPr="00D440BD" w:rsidRDefault="00417AB4" w:rsidP="00470A93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lang w:val="en-US"/>
        </w:rPr>
      </w:pPr>
      <w:r w:rsidRPr="00D440BD">
        <w:rPr>
          <w:b/>
          <w:bCs/>
          <w:lang w:val="en-US"/>
        </w:rPr>
        <w:t>Expected outcomes</w:t>
      </w:r>
      <w:r w:rsidR="002A1483" w:rsidRPr="00D440BD">
        <w:rPr>
          <w:b/>
          <w:bCs/>
          <w:lang w:val="en-US"/>
        </w:rPr>
        <w:t>:</w:t>
      </w:r>
    </w:p>
    <w:p w:rsidR="00417AB4" w:rsidRPr="00D440BD" w:rsidRDefault="00417AB4" w:rsidP="00470A93">
      <w:pPr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 w:rsidRPr="00D440BD">
        <w:rPr>
          <w:lang w:val="en-US"/>
        </w:rPr>
        <w:t xml:space="preserve">The project aims to carry out the systematization of its </w:t>
      </w:r>
      <w:r w:rsidRPr="00D440BD">
        <w:rPr>
          <w:b/>
          <w:lang w:val="en-US"/>
        </w:rPr>
        <w:t>results</w:t>
      </w:r>
      <w:r w:rsidRPr="00D440BD">
        <w:rPr>
          <w:lang w:val="en-US"/>
        </w:rPr>
        <w:t xml:space="preserve"> from the following products:</w:t>
      </w:r>
    </w:p>
    <w:p w:rsidR="00417AB4" w:rsidRPr="00D440BD" w:rsidRDefault="002A1483" w:rsidP="00470A93">
      <w:pPr>
        <w:pStyle w:val="Default"/>
        <w:spacing w:after="120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D440BD">
        <w:rPr>
          <w:rFonts w:ascii="Times New Roman" w:hAnsi="Times New Roman"/>
          <w:color w:val="auto"/>
          <w:lang w:val="en-US"/>
        </w:rPr>
        <w:t xml:space="preserve">I. </w:t>
      </w:r>
      <w:r w:rsidR="00417AB4" w:rsidRPr="00D440BD">
        <w:rPr>
          <w:rFonts w:ascii="Times New Roman" w:hAnsi="Times New Roman"/>
          <w:color w:val="auto"/>
          <w:lang w:val="en-US"/>
        </w:rPr>
        <w:t xml:space="preserve">Technical Report on the state of the art of health </w:t>
      </w:r>
      <w:r w:rsidR="00D440BD" w:rsidRPr="00D440BD">
        <w:rPr>
          <w:rFonts w:ascii="Times New Roman" w:hAnsi="Times New Roman"/>
          <w:color w:val="auto"/>
          <w:lang w:val="en-US"/>
        </w:rPr>
        <w:t>technicians’</w:t>
      </w:r>
      <w:r w:rsidR="00417AB4" w:rsidRPr="00D440BD">
        <w:rPr>
          <w:rFonts w:ascii="Times New Roman" w:hAnsi="Times New Roman"/>
          <w:color w:val="auto"/>
          <w:lang w:val="en-US"/>
        </w:rPr>
        <w:t xml:space="preserve"> education in each participating country, covering the following topics: presentation of National Education Maps on </w:t>
      </w:r>
      <w:r w:rsidR="00417AB4" w:rsidRPr="00D440BD">
        <w:rPr>
          <w:rFonts w:ascii="Times New Roman" w:hAnsi="Times New Roman"/>
          <w:color w:val="auto"/>
          <w:lang w:val="en-US"/>
        </w:rPr>
        <w:t>Health</w:t>
      </w:r>
      <w:r w:rsidR="00417AB4" w:rsidRPr="00D440BD">
        <w:rPr>
          <w:rFonts w:ascii="Times New Roman" w:hAnsi="Times New Roman"/>
          <w:color w:val="auto"/>
          <w:lang w:val="en-US"/>
        </w:rPr>
        <w:t xml:space="preserve"> Technicians Education; survey on the theoretical and methodological bases of Health Technicians Education in each country.</w:t>
      </w:r>
    </w:p>
    <w:p w:rsidR="00417AB4" w:rsidRPr="00D440BD" w:rsidRDefault="002A1483" w:rsidP="00470A93">
      <w:pPr>
        <w:spacing w:after="120"/>
        <w:ind w:firstLine="709"/>
        <w:jc w:val="both"/>
        <w:rPr>
          <w:lang w:val="en-US"/>
        </w:rPr>
      </w:pPr>
      <w:r w:rsidRPr="00D440BD">
        <w:rPr>
          <w:lang w:val="en-US"/>
        </w:rPr>
        <w:t xml:space="preserve">II. </w:t>
      </w:r>
      <w:r w:rsidR="00417AB4" w:rsidRPr="00D440BD">
        <w:rPr>
          <w:lang w:val="en-US"/>
        </w:rPr>
        <w:t>First</w:t>
      </w:r>
      <w:r w:rsidRPr="00D440BD">
        <w:rPr>
          <w:lang w:val="en-US"/>
        </w:rPr>
        <w:t xml:space="preserve"> </w:t>
      </w:r>
      <w:r w:rsidR="00417AB4" w:rsidRPr="00D440BD">
        <w:rPr>
          <w:lang w:val="en-US"/>
        </w:rPr>
        <w:t>International Health Technicians Education Seminar under the RETS.</w:t>
      </w:r>
    </w:p>
    <w:p w:rsidR="002A1483" w:rsidRPr="00D440BD" w:rsidRDefault="002A1483" w:rsidP="00470A93">
      <w:pPr>
        <w:spacing w:after="120"/>
        <w:ind w:firstLine="709"/>
        <w:jc w:val="both"/>
        <w:rPr>
          <w:b/>
          <w:bCs/>
          <w:lang w:val="en-US"/>
        </w:rPr>
      </w:pPr>
      <w:r w:rsidRPr="00D440BD">
        <w:rPr>
          <w:b/>
          <w:bCs/>
          <w:lang w:val="en-US"/>
        </w:rPr>
        <w:t>Met</w:t>
      </w:r>
      <w:r w:rsidR="00417AB4" w:rsidRPr="00D440BD">
        <w:rPr>
          <w:b/>
          <w:bCs/>
          <w:lang w:val="en-US"/>
        </w:rPr>
        <w:t>h</w:t>
      </w:r>
      <w:r w:rsidRPr="00D440BD">
        <w:rPr>
          <w:b/>
          <w:bCs/>
          <w:lang w:val="en-US"/>
        </w:rPr>
        <w:t>odolog</w:t>
      </w:r>
      <w:r w:rsidR="00417AB4" w:rsidRPr="00D440BD">
        <w:rPr>
          <w:b/>
          <w:bCs/>
          <w:lang w:val="en-US"/>
        </w:rPr>
        <w:t>y</w:t>
      </w:r>
      <w:r w:rsidRPr="00D440BD">
        <w:rPr>
          <w:b/>
          <w:bCs/>
          <w:lang w:val="en-US"/>
        </w:rPr>
        <w:t>:</w:t>
      </w:r>
    </w:p>
    <w:p w:rsidR="00417AB4" w:rsidRPr="00D440BD" w:rsidRDefault="00417AB4" w:rsidP="00470A93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lang w:val="en-US"/>
        </w:rPr>
      </w:pPr>
      <w:r w:rsidRPr="00D440BD">
        <w:rPr>
          <w:b/>
          <w:bCs/>
          <w:lang w:val="en-US"/>
        </w:rPr>
        <w:t>Workshops as collective construction strategies</w:t>
      </w:r>
    </w:p>
    <w:p w:rsidR="00417AB4" w:rsidRPr="00D440BD" w:rsidRDefault="00417AB4" w:rsidP="00470A93">
      <w:pPr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 w:rsidRPr="00D440BD">
        <w:rPr>
          <w:lang w:val="en-US"/>
        </w:rPr>
        <w:t xml:space="preserve">Conducting Workshops with the extended team (coordination team + national teams) with a view to ensuring the collective construction of all </w:t>
      </w:r>
      <w:r w:rsidR="00D440BD" w:rsidRPr="00D440BD">
        <w:rPr>
          <w:lang w:val="en-US"/>
        </w:rPr>
        <w:t>work stages</w:t>
      </w:r>
      <w:r w:rsidRPr="00D440BD">
        <w:rPr>
          <w:lang w:val="en-US"/>
        </w:rPr>
        <w:t xml:space="preserve"> - quantitative and qualitative part - and qualify its participants.</w:t>
      </w:r>
    </w:p>
    <w:p w:rsidR="00D440BD" w:rsidRPr="00D440BD" w:rsidRDefault="00D440BD" w:rsidP="00470A93">
      <w:pPr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 w:rsidRPr="00D440BD">
        <w:rPr>
          <w:lang w:val="en-US"/>
        </w:rPr>
        <w:t>This strategy of collective construction through workshops will provide collective decision-making, as well as discussion and further study of the theoretical references and analytical categories to be used by researchers in the work process; the development of research instruments; the presentation of the preliminary results of each stage of the research; the construction of a matrix for the analysis of interviews aimed at drawing up country-specific reports; the definition of a report script that allows the consolidation of the results for presentation at the International Seminar.</w:t>
      </w:r>
    </w:p>
    <w:p w:rsidR="00D440BD" w:rsidRPr="00D440BD" w:rsidRDefault="00D440BD" w:rsidP="00470A93">
      <w:pPr>
        <w:spacing w:after="120"/>
        <w:ind w:firstLine="709"/>
        <w:jc w:val="both"/>
        <w:rPr>
          <w:lang w:val="en-US"/>
        </w:rPr>
      </w:pPr>
      <w:r w:rsidRPr="00D440BD">
        <w:rPr>
          <w:lang w:val="en-US"/>
        </w:rPr>
        <w:t xml:space="preserve">Regarding the </w:t>
      </w:r>
      <w:r w:rsidRPr="00D440BD">
        <w:rPr>
          <w:b/>
          <w:lang w:val="en-US"/>
        </w:rPr>
        <w:t>quantitative part</w:t>
      </w:r>
      <w:r w:rsidRPr="00D440BD">
        <w:rPr>
          <w:lang w:val="en-US"/>
        </w:rPr>
        <w:t xml:space="preserve"> of the research, </w:t>
      </w:r>
      <w:r w:rsidRPr="00D440BD">
        <w:rPr>
          <w:lang w:val="en-US"/>
        </w:rPr>
        <w:t>some procedures</w:t>
      </w:r>
      <w:r w:rsidRPr="00D440BD">
        <w:rPr>
          <w:lang w:val="en-US"/>
        </w:rPr>
        <w:t xml:space="preserve"> are expected, namely:</w:t>
      </w:r>
    </w:p>
    <w:p w:rsidR="00D440BD" w:rsidRPr="00D440BD" w:rsidRDefault="002A1483" w:rsidP="00470A93">
      <w:pPr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 w:rsidRPr="00D440BD">
        <w:rPr>
          <w:lang w:val="en-US"/>
        </w:rPr>
        <w:t xml:space="preserve">1. </w:t>
      </w:r>
      <w:r w:rsidR="00D440BD" w:rsidRPr="00D440BD">
        <w:rPr>
          <w:lang w:val="en-US"/>
        </w:rPr>
        <w:t xml:space="preserve">Consultation with existing databases in the country, systematizing the following information: areas and sub-areas of training; types and modalities of courses offered; types of technicians and existing specialties in the socio-occupational setting and its corresponding </w:t>
      </w:r>
      <w:r w:rsidR="00D440BD" w:rsidRPr="00D440BD">
        <w:rPr>
          <w:lang w:val="en-US"/>
        </w:rPr>
        <w:lastRenderedPageBreak/>
        <w:t>relationship with education levels, course types and  modalities; offering institutions; number of vacancies, enrollment and graduates.</w:t>
      </w:r>
    </w:p>
    <w:p w:rsidR="00597F1D" w:rsidRPr="00597F1D" w:rsidRDefault="00597F1D" w:rsidP="00470A93">
      <w:pPr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>
        <w:rPr>
          <w:lang w:val="en-US"/>
        </w:rPr>
        <w:t>D</w:t>
      </w:r>
      <w:r w:rsidRPr="00597F1D">
        <w:rPr>
          <w:lang w:val="en-US"/>
        </w:rPr>
        <w:t>atabase</w:t>
      </w:r>
      <w:r w:rsidRPr="00597F1D">
        <w:rPr>
          <w:lang w:val="en-US"/>
        </w:rPr>
        <w:t xml:space="preserve"> consultation </w:t>
      </w:r>
      <w:r>
        <w:rPr>
          <w:lang w:val="en-US"/>
        </w:rPr>
        <w:t xml:space="preserve">is </w:t>
      </w:r>
      <w:r w:rsidRPr="00597F1D">
        <w:rPr>
          <w:lang w:val="en-US"/>
        </w:rPr>
        <w:t xml:space="preserve">intended to provide greater coverage of the universe of institutions and offered health </w:t>
      </w:r>
      <w:r>
        <w:rPr>
          <w:lang w:val="en-US"/>
        </w:rPr>
        <w:t xml:space="preserve">technical </w:t>
      </w:r>
      <w:r w:rsidRPr="00597F1D">
        <w:rPr>
          <w:lang w:val="en-US"/>
        </w:rPr>
        <w:t xml:space="preserve">education courses </w:t>
      </w:r>
      <w:r>
        <w:rPr>
          <w:lang w:val="en-US"/>
        </w:rPr>
        <w:t>to</w:t>
      </w:r>
      <w:r w:rsidRPr="00597F1D">
        <w:rPr>
          <w:lang w:val="en-US"/>
        </w:rPr>
        <w:t xml:space="preserve"> which questionnaires will be sent </w:t>
      </w:r>
      <w:r>
        <w:rPr>
          <w:lang w:val="en-US"/>
        </w:rPr>
        <w:t xml:space="preserve">to further clarify </w:t>
      </w:r>
      <w:r w:rsidRPr="00597F1D">
        <w:rPr>
          <w:lang w:val="en-US"/>
        </w:rPr>
        <w:t>data collected</w:t>
      </w:r>
      <w:r w:rsidRPr="00597F1D">
        <w:rPr>
          <w:lang w:val="en-US"/>
        </w:rPr>
        <w:t>.</w:t>
      </w:r>
    </w:p>
    <w:p w:rsidR="00597F1D" w:rsidRPr="00597F1D" w:rsidRDefault="00597F1D" w:rsidP="00597F1D">
      <w:pPr>
        <w:pStyle w:val="Default"/>
        <w:spacing w:after="200"/>
        <w:ind w:firstLine="709"/>
        <w:jc w:val="both"/>
        <w:rPr>
          <w:rFonts w:ascii="Times New Roman" w:hAnsi="Times New Roman"/>
          <w:lang w:val="en-US"/>
        </w:rPr>
      </w:pPr>
      <w:r w:rsidRPr="00597F1D">
        <w:rPr>
          <w:rFonts w:ascii="Times New Roman" w:hAnsi="Times New Roman"/>
          <w:lang w:val="en-US"/>
        </w:rPr>
        <w:t xml:space="preserve">If there are no existing databases in the country, the research should encourage the construction of </w:t>
      </w:r>
      <w:r>
        <w:rPr>
          <w:rFonts w:ascii="Times New Roman" w:hAnsi="Times New Roman"/>
          <w:lang w:val="en-US"/>
        </w:rPr>
        <w:t>a</w:t>
      </w:r>
      <w:r w:rsidRPr="00597F1D">
        <w:rPr>
          <w:rFonts w:ascii="Times New Roman" w:hAnsi="Times New Roman"/>
          <w:lang w:val="en-US"/>
        </w:rPr>
        <w:t xml:space="preserve"> database.</w:t>
      </w:r>
    </w:p>
    <w:p w:rsidR="002A1483" w:rsidRPr="00597F1D" w:rsidRDefault="002A1483" w:rsidP="00470A93">
      <w:pPr>
        <w:spacing w:after="120"/>
        <w:ind w:firstLine="709"/>
        <w:jc w:val="both"/>
        <w:rPr>
          <w:lang w:val="en-US"/>
        </w:rPr>
      </w:pPr>
      <w:r w:rsidRPr="00597F1D">
        <w:rPr>
          <w:lang w:val="en-US"/>
        </w:rPr>
        <w:t xml:space="preserve">2. </w:t>
      </w:r>
      <w:r w:rsidR="00597F1D" w:rsidRPr="00597F1D">
        <w:rPr>
          <w:lang w:val="en-US"/>
        </w:rPr>
        <w:t>Preparation and application of questionnaire</w:t>
      </w:r>
    </w:p>
    <w:p w:rsidR="00597F1D" w:rsidRPr="00597F1D" w:rsidRDefault="00597F1D" w:rsidP="00470A93">
      <w:pPr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 w:rsidRPr="00597F1D">
        <w:rPr>
          <w:lang w:val="en-US"/>
        </w:rPr>
        <w:t>Drawing up a closed</w:t>
      </w:r>
      <w:r w:rsidR="002C3EED">
        <w:rPr>
          <w:lang w:val="en-US"/>
        </w:rPr>
        <w:t>-ended</w:t>
      </w:r>
      <w:r w:rsidRPr="00597F1D">
        <w:rPr>
          <w:lang w:val="en-US"/>
        </w:rPr>
        <w:t xml:space="preserve"> questionnaire to be sent to the universe of the identified training institutions in order to supplement the quantitative information not available in </w:t>
      </w:r>
      <w:r>
        <w:rPr>
          <w:lang w:val="en-US"/>
        </w:rPr>
        <w:t>the m</w:t>
      </w:r>
      <w:r w:rsidRPr="00597F1D">
        <w:rPr>
          <w:lang w:val="en-US"/>
        </w:rPr>
        <w:t>aster records and allow a first</w:t>
      </w:r>
      <w:r>
        <w:rPr>
          <w:lang w:val="en-US"/>
        </w:rPr>
        <w:t>,</w:t>
      </w:r>
      <w:r w:rsidRPr="00597F1D">
        <w:rPr>
          <w:lang w:val="en-US"/>
        </w:rPr>
        <w:t xml:space="preserve"> </w:t>
      </w:r>
      <w:r w:rsidRPr="00597F1D">
        <w:rPr>
          <w:lang w:val="en-US"/>
        </w:rPr>
        <w:t>more qualitative</w:t>
      </w:r>
      <w:r w:rsidRPr="00597F1D">
        <w:rPr>
          <w:lang w:val="en-US"/>
        </w:rPr>
        <w:t xml:space="preserve"> institutional approach.</w:t>
      </w:r>
    </w:p>
    <w:p w:rsidR="00597F1D" w:rsidRPr="00597F1D" w:rsidRDefault="00597F1D" w:rsidP="00470A93">
      <w:pPr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 w:rsidRPr="00597F1D">
        <w:rPr>
          <w:lang w:val="en-US"/>
        </w:rPr>
        <w:t xml:space="preserve">The questionnaire should </w:t>
      </w:r>
      <w:r>
        <w:rPr>
          <w:lang w:val="en-US"/>
        </w:rPr>
        <w:t>be</w:t>
      </w:r>
      <w:r w:rsidRPr="00597F1D">
        <w:rPr>
          <w:lang w:val="en-US"/>
        </w:rPr>
        <w:t xml:space="preserve"> self-explanatory </w:t>
      </w:r>
      <w:r>
        <w:rPr>
          <w:lang w:val="en-US"/>
        </w:rPr>
        <w:t xml:space="preserve">and comprise </w:t>
      </w:r>
      <w:r w:rsidRPr="00597F1D">
        <w:rPr>
          <w:lang w:val="en-US"/>
        </w:rPr>
        <w:t>four parts:</w:t>
      </w:r>
    </w:p>
    <w:p w:rsidR="00597F1D" w:rsidRPr="00597F1D" w:rsidRDefault="00597F1D" w:rsidP="00597F1D">
      <w:pPr>
        <w:pStyle w:val="PargrafodaLista2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en-US"/>
        </w:rPr>
      </w:pPr>
      <w:r w:rsidRPr="00597F1D">
        <w:rPr>
          <w:rFonts w:ascii="Times New Roman" w:hAnsi="Times New Roman"/>
          <w:sz w:val="24"/>
          <w:szCs w:val="24"/>
          <w:lang w:val="en-US"/>
        </w:rPr>
        <w:t>The first referring to the identification data of the institution and the respondent;</w:t>
      </w:r>
    </w:p>
    <w:p w:rsidR="00597F1D" w:rsidRPr="00597F1D" w:rsidRDefault="00597F1D" w:rsidP="00597F1D">
      <w:pPr>
        <w:pStyle w:val="PargrafodaLista2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97F1D">
        <w:rPr>
          <w:rFonts w:ascii="Times New Roman" w:hAnsi="Times New Roman"/>
          <w:sz w:val="24"/>
          <w:szCs w:val="24"/>
          <w:lang w:val="en-US"/>
        </w:rPr>
        <w:t xml:space="preserve">The second part </w:t>
      </w:r>
      <w:r>
        <w:rPr>
          <w:rFonts w:ascii="Times New Roman" w:hAnsi="Times New Roman"/>
          <w:sz w:val="24"/>
          <w:szCs w:val="24"/>
          <w:lang w:val="en-US"/>
        </w:rPr>
        <w:t xml:space="preserve">shall enquire about </w:t>
      </w:r>
      <w:r w:rsidRPr="00597F1D">
        <w:rPr>
          <w:rFonts w:ascii="Times New Roman" w:hAnsi="Times New Roman"/>
          <w:sz w:val="24"/>
          <w:szCs w:val="24"/>
          <w:lang w:val="en-US"/>
        </w:rPr>
        <w:t>health</w:t>
      </w:r>
      <w:r w:rsidRPr="00597F1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7F1D">
        <w:rPr>
          <w:rFonts w:ascii="Times New Roman" w:hAnsi="Times New Roman"/>
          <w:sz w:val="24"/>
          <w:szCs w:val="24"/>
          <w:lang w:val="en-US"/>
        </w:rPr>
        <w:t xml:space="preserve">technical courses </w:t>
      </w:r>
      <w:r>
        <w:rPr>
          <w:rFonts w:ascii="Times New Roman" w:hAnsi="Times New Roman"/>
          <w:sz w:val="24"/>
          <w:szCs w:val="24"/>
          <w:lang w:val="en-US"/>
        </w:rPr>
        <w:t>offers</w:t>
      </w:r>
      <w:r w:rsidRPr="00597F1D">
        <w:rPr>
          <w:rFonts w:ascii="Times New Roman" w:hAnsi="Times New Roman"/>
          <w:sz w:val="24"/>
          <w:szCs w:val="24"/>
          <w:lang w:val="en-US"/>
        </w:rPr>
        <w:t>, requesting data on vacancies, graduates, total workload and education required for the courses;</w:t>
      </w:r>
    </w:p>
    <w:p w:rsidR="00597F1D" w:rsidRPr="00597F1D" w:rsidRDefault="00597F1D" w:rsidP="00597F1D">
      <w:pPr>
        <w:pStyle w:val="PargrafodaLista2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97F1D">
        <w:rPr>
          <w:rFonts w:ascii="Times New Roman" w:hAnsi="Times New Roman"/>
          <w:sz w:val="24"/>
          <w:szCs w:val="24"/>
          <w:lang w:val="en-US"/>
        </w:rPr>
        <w:t>The third part will consist of a series of multiple</w:t>
      </w:r>
      <w:r w:rsidR="00785A1A">
        <w:rPr>
          <w:rFonts w:ascii="Times New Roman" w:hAnsi="Times New Roman"/>
          <w:sz w:val="24"/>
          <w:szCs w:val="24"/>
          <w:lang w:val="en-US"/>
        </w:rPr>
        <w:t>-</w:t>
      </w:r>
      <w:r w:rsidRPr="00597F1D">
        <w:rPr>
          <w:rFonts w:ascii="Times New Roman" w:hAnsi="Times New Roman"/>
          <w:sz w:val="24"/>
          <w:szCs w:val="24"/>
          <w:lang w:val="en-US"/>
        </w:rPr>
        <w:t>choice questions re</w:t>
      </w:r>
      <w:r w:rsidR="00785A1A">
        <w:rPr>
          <w:rFonts w:ascii="Times New Roman" w:hAnsi="Times New Roman"/>
          <w:sz w:val="24"/>
          <w:szCs w:val="24"/>
          <w:lang w:val="en-US"/>
        </w:rPr>
        <w:t>lated</w:t>
      </w:r>
      <w:r w:rsidRPr="00597F1D">
        <w:rPr>
          <w:rFonts w:ascii="Times New Roman" w:hAnsi="Times New Roman"/>
          <w:sz w:val="24"/>
          <w:szCs w:val="24"/>
          <w:lang w:val="en-US"/>
        </w:rPr>
        <w:t xml:space="preserve"> to the </w:t>
      </w:r>
      <w:r w:rsidR="00785A1A">
        <w:rPr>
          <w:rFonts w:ascii="Times New Roman" w:hAnsi="Times New Roman"/>
          <w:sz w:val="24"/>
          <w:szCs w:val="24"/>
          <w:lang w:val="en-US"/>
        </w:rPr>
        <w:t xml:space="preserve">features </w:t>
      </w:r>
      <w:r w:rsidRPr="00597F1D">
        <w:rPr>
          <w:rFonts w:ascii="Times New Roman" w:hAnsi="Times New Roman"/>
          <w:sz w:val="24"/>
          <w:szCs w:val="24"/>
          <w:lang w:val="en-US"/>
        </w:rPr>
        <w:t xml:space="preserve">of the education offered by the institution, including </w:t>
      </w:r>
      <w:r w:rsidR="00785A1A">
        <w:rPr>
          <w:rFonts w:ascii="Times New Roman" w:hAnsi="Times New Roman"/>
          <w:sz w:val="24"/>
          <w:szCs w:val="24"/>
          <w:lang w:val="en-US"/>
        </w:rPr>
        <w:t xml:space="preserve">level </w:t>
      </w:r>
      <w:r w:rsidRPr="00597F1D">
        <w:rPr>
          <w:rFonts w:ascii="Times New Roman" w:hAnsi="Times New Roman"/>
          <w:sz w:val="24"/>
          <w:szCs w:val="24"/>
          <w:lang w:val="en-US"/>
        </w:rPr>
        <w:t>of institutional autonomy, the existence of an Institutional Project (present</w:t>
      </w:r>
      <w:r w:rsidR="00785A1A">
        <w:rPr>
          <w:rFonts w:ascii="Times New Roman" w:hAnsi="Times New Roman"/>
          <w:sz w:val="24"/>
          <w:szCs w:val="24"/>
          <w:lang w:val="en-US"/>
        </w:rPr>
        <w:t>ing</w:t>
      </w:r>
      <w:r w:rsidRPr="00597F1D">
        <w:rPr>
          <w:rFonts w:ascii="Times New Roman" w:hAnsi="Times New Roman"/>
          <w:sz w:val="24"/>
          <w:szCs w:val="24"/>
          <w:lang w:val="en-US"/>
        </w:rPr>
        <w:t xml:space="preserve"> both its organizational part </w:t>
      </w:r>
      <w:r w:rsidR="00785A1A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597F1D">
        <w:rPr>
          <w:rFonts w:ascii="Times New Roman" w:hAnsi="Times New Roman"/>
          <w:sz w:val="24"/>
          <w:szCs w:val="24"/>
          <w:lang w:val="en-US"/>
        </w:rPr>
        <w:t xml:space="preserve">political-pedagogical guidelines) and educational coordination; curricular organization, offered training format, training </w:t>
      </w:r>
      <w:r w:rsidR="00785A1A">
        <w:rPr>
          <w:rFonts w:ascii="Times New Roman" w:hAnsi="Times New Roman"/>
          <w:sz w:val="24"/>
          <w:szCs w:val="24"/>
          <w:lang w:val="en-US"/>
        </w:rPr>
        <w:t>facilities</w:t>
      </w:r>
      <w:r w:rsidRPr="00597F1D">
        <w:rPr>
          <w:rFonts w:ascii="Times New Roman" w:hAnsi="Times New Roman"/>
          <w:sz w:val="24"/>
          <w:szCs w:val="24"/>
          <w:lang w:val="en-US"/>
        </w:rPr>
        <w:t xml:space="preserve"> and defini</w:t>
      </w:r>
      <w:r w:rsidR="00785A1A">
        <w:rPr>
          <w:rFonts w:ascii="Times New Roman" w:hAnsi="Times New Roman"/>
          <w:sz w:val="24"/>
          <w:szCs w:val="24"/>
          <w:lang w:val="en-US"/>
        </w:rPr>
        <w:t>tion of</w:t>
      </w:r>
      <w:r w:rsidRPr="00597F1D">
        <w:rPr>
          <w:rFonts w:ascii="Times New Roman" w:hAnsi="Times New Roman"/>
          <w:sz w:val="24"/>
          <w:szCs w:val="24"/>
          <w:lang w:val="en-US"/>
        </w:rPr>
        <w:t xml:space="preserve"> course offer</w:t>
      </w:r>
      <w:r w:rsidR="00785A1A">
        <w:rPr>
          <w:rFonts w:ascii="Times New Roman" w:hAnsi="Times New Roman"/>
          <w:sz w:val="24"/>
          <w:szCs w:val="24"/>
          <w:lang w:val="en-US"/>
        </w:rPr>
        <w:t>s</w:t>
      </w:r>
      <w:r w:rsidRPr="00597F1D">
        <w:rPr>
          <w:rFonts w:ascii="Times New Roman" w:hAnsi="Times New Roman"/>
          <w:sz w:val="24"/>
          <w:szCs w:val="24"/>
          <w:lang w:val="en-US"/>
        </w:rPr>
        <w:t>.</w:t>
      </w:r>
    </w:p>
    <w:p w:rsidR="00785A1A" w:rsidRPr="00785A1A" w:rsidRDefault="00785A1A" w:rsidP="00417AB4">
      <w:pPr>
        <w:spacing w:after="120"/>
        <w:ind w:firstLine="709"/>
        <w:jc w:val="both"/>
        <w:rPr>
          <w:lang w:val="en-US"/>
        </w:rPr>
      </w:pPr>
      <w:r w:rsidRPr="00785A1A">
        <w:rPr>
          <w:lang w:val="en-US"/>
        </w:rPr>
        <w:t xml:space="preserve">Regarding the </w:t>
      </w:r>
      <w:r w:rsidRPr="00785A1A">
        <w:rPr>
          <w:b/>
          <w:lang w:val="en-US"/>
        </w:rPr>
        <w:t>qualitative part</w:t>
      </w:r>
      <w:r w:rsidRPr="00785A1A">
        <w:rPr>
          <w:lang w:val="en-US"/>
        </w:rPr>
        <w:t xml:space="preserve"> of the research, interviews with leaders and teachers of educational institutions and a documentary analysis in order to investigate the curricula of </w:t>
      </w:r>
      <w:r>
        <w:rPr>
          <w:lang w:val="en-US"/>
        </w:rPr>
        <w:t>professional health e</w:t>
      </w:r>
      <w:r w:rsidRPr="00785A1A">
        <w:rPr>
          <w:lang w:val="en-US"/>
        </w:rPr>
        <w:t xml:space="preserve">ducation courses, with </w:t>
      </w:r>
      <w:r>
        <w:rPr>
          <w:lang w:val="en-US"/>
        </w:rPr>
        <w:t>their</w:t>
      </w:r>
      <w:r w:rsidRPr="00785A1A">
        <w:rPr>
          <w:lang w:val="en-US"/>
        </w:rPr>
        <w:t xml:space="preserve"> </w:t>
      </w:r>
      <w:r>
        <w:rPr>
          <w:lang w:val="en-US"/>
        </w:rPr>
        <w:t xml:space="preserve">relevant </w:t>
      </w:r>
      <w:r w:rsidRPr="00785A1A">
        <w:rPr>
          <w:lang w:val="en-US"/>
        </w:rPr>
        <w:t xml:space="preserve">regulations and development, </w:t>
      </w:r>
      <w:r>
        <w:rPr>
          <w:lang w:val="en-US"/>
        </w:rPr>
        <w:t>understood as</w:t>
      </w:r>
      <w:r w:rsidRPr="00785A1A">
        <w:rPr>
          <w:lang w:val="en-US"/>
        </w:rPr>
        <w:t xml:space="preserve"> particularities </w:t>
      </w:r>
      <w:r>
        <w:rPr>
          <w:lang w:val="en-US"/>
        </w:rPr>
        <w:t xml:space="preserve">of a </w:t>
      </w:r>
      <w:r w:rsidRPr="00785A1A">
        <w:rPr>
          <w:lang w:val="en-US"/>
        </w:rPr>
        <w:t>broader social tot</w:t>
      </w:r>
      <w:r w:rsidRPr="00785A1A">
        <w:rPr>
          <w:lang w:val="en-US"/>
        </w:rPr>
        <w:t>ality</w:t>
      </w:r>
      <w:r>
        <w:rPr>
          <w:lang w:val="en-US"/>
        </w:rPr>
        <w:t xml:space="preserve"> are expected to occur</w:t>
      </w:r>
      <w:r w:rsidRPr="00785A1A">
        <w:rPr>
          <w:lang w:val="en-US"/>
        </w:rPr>
        <w:t xml:space="preserve">. The aim is thus </w:t>
      </w:r>
      <w:r w:rsidR="00103DC7">
        <w:rPr>
          <w:lang w:val="en-US"/>
        </w:rPr>
        <w:t xml:space="preserve">to </w:t>
      </w:r>
      <w:r w:rsidRPr="00785A1A">
        <w:rPr>
          <w:lang w:val="en-US"/>
        </w:rPr>
        <w:t xml:space="preserve">identify the theoretical and methodological guidelines that support the training of </w:t>
      </w:r>
      <w:r w:rsidRPr="00785A1A">
        <w:rPr>
          <w:lang w:val="en-US"/>
        </w:rPr>
        <w:t xml:space="preserve">health </w:t>
      </w:r>
      <w:r w:rsidRPr="00785A1A">
        <w:rPr>
          <w:lang w:val="en-US"/>
        </w:rPr>
        <w:t xml:space="preserve">technical workers in the country in order to grasp the significance of this type of education, </w:t>
      </w:r>
      <w:r w:rsidR="00103DC7">
        <w:rPr>
          <w:lang w:val="en-US"/>
        </w:rPr>
        <w:t>its</w:t>
      </w:r>
      <w:bookmarkStart w:id="0" w:name="_GoBack"/>
      <w:bookmarkEnd w:id="0"/>
      <w:r w:rsidRPr="00785A1A">
        <w:rPr>
          <w:lang w:val="en-US"/>
        </w:rPr>
        <w:t xml:space="preserve"> relationships with health</w:t>
      </w:r>
      <w:r>
        <w:rPr>
          <w:lang w:val="en-US"/>
        </w:rPr>
        <w:t xml:space="preserve"> and</w:t>
      </w:r>
      <w:r w:rsidRPr="00785A1A">
        <w:rPr>
          <w:lang w:val="en-US"/>
        </w:rPr>
        <w:t xml:space="preserve"> education </w:t>
      </w:r>
      <w:r>
        <w:rPr>
          <w:lang w:val="en-US"/>
        </w:rPr>
        <w:t xml:space="preserve">policies </w:t>
      </w:r>
      <w:r w:rsidRPr="00785A1A">
        <w:rPr>
          <w:lang w:val="en-US"/>
        </w:rPr>
        <w:t xml:space="preserve">and </w:t>
      </w:r>
      <w:r>
        <w:rPr>
          <w:lang w:val="en-US"/>
        </w:rPr>
        <w:t>work r</w:t>
      </w:r>
      <w:r w:rsidRPr="00785A1A">
        <w:rPr>
          <w:lang w:val="en-US"/>
        </w:rPr>
        <w:t>elationships</w:t>
      </w:r>
      <w:r>
        <w:rPr>
          <w:lang w:val="en-US"/>
        </w:rPr>
        <w:t>.</w:t>
      </w:r>
    </w:p>
    <w:p w:rsidR="000F4785" w:rsidRPr="00785A1A" w:rsidRDefault="000F4785">
      <w:pPr>
        <w:spacing w:after="120"/>
        <w:ind w:firstLine="709"/>
        <w:jc w:val="both"/>
        <w:rPr>
          <w:lang w:val="en-US"/>
        </w:rPr>
      </w:pPr>
    </w:p>
    <w:sectPr w:rsidR="000F4785" w:rsidRPr="00785A1A" w:rsidSect="00E15D90">
      <w:headerReference w:type="default" r:id="rId8"/>
      <w:footerReference w:type="default" r:id="rId9"/>
      <w:type w:val="continuous"/>
      <w:pgSz w:w="11907" w:h="16840" w:code="9"/>
      <w:pgMar w:top="1809" w:right="1134" w:bottom="1418" w:left="1134" w:header="851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DA" w:rsidRDefault="00AF66DA">
      <w:r>
        <w:separator/>
      </w:r>
    </w:p>
  </w:endnote>
  <w:endnote w:type="continuationSeparator" w:id="0">
    <w:p w:rsidR="00AF66DA" w:rsidRDefault="00AF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90" w:rsidRDefault="009B6058">
    <w:pPr>
      <w:pStyle w:val="Rodap"/>
    </w:pPr>
    <w:r>
      <w:rPr>
        <w:noProof/>
      </w:rPr>
      <w:drawing>
        <wp:inline distT="0" distB="0" distL="0" distR="0" wp14:anchorId="1E094212" wp14:editId="64386FD3">
          <wp:extent cx="6118860" cy="723900"/>
          <wp:effectExtent l="19050" t="0" r="0" b="0"/>
          <wp:docPr id="3" name="Imagem 3" descr="marcas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s 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DA" w:rsidRDefault="00AF66DA">
      <w:r>
        <w:separator/>
      </w:r>
    </w:p>
  </w:footnote>
  <w:footnote w:type="continuationSeparator" w:id="0">
    <w:p w:rsidR="00AF66DA" w:rsidRDefault="00AF6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90" w:rsidRDefault="009B6058">
    <w:pPr>
      <w:pStyle w:val="Cabealho"/>
      <w:tabs>
        <w:tab w:val="clear" w:pos="8838"/>
        <w:tab w:val="left" w:pos="8020"/>
      </w:tabs>
    </w:pPr>
    <w:r>
      <w:rPr>
        <w:noProof/>
      </w:rPr>
      <w:drawing>
        <wp:inline distT="0" distB="0" distL="0" distR="0" wp14:anchorId="5F85E3C9" wp14:editId="2E808A29">
          <wp:extent cx="3961130" cy="355600"/>
          <wp:effectExtent l="19050" t="0" r="1270" b="0"/>
          <wp:docPr id="1" name="Imagem 1" descr="Logo rede 3 idio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de 3 idio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13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55B0">
      <w:tab/>
    </w:r>
  </w:p>
  <w:p w:rsidR="00E15D90" w:rsidRDefault="009B6058">
    <w:pPr>
      <w:pStyle w:val="Cabealho"/>
    </w:pPr>
    <w:r>
      <w:rPr>
        <w:noProof/>
      </w:rPr>
      <w:drawing>
        <wp:inline distT="0" distB="0" distL="0" distR="0" wp14:anchorId="14410F34" wp14:editId="1EF0FC3C">
          <wp:extent cx="6115050" cy="21590"/>
          <wp:effectExtent l="19050" t="0" r="0" b="0"/>
          <wp:docPr id="2" name="Imagem 2" descr="bolinhas laran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inhas laranj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DD6"/>
    <w:multiLevelType w:val="hybridMultilevel"/>
    <w:tmpl w:val="9DB82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27E0"/>
    <w:multiLevelType w:val="hybridMultilevel"/>
    <w:tmpl w:val="D5C0C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B0C6C"/>
    <w:multiLevelType w:val="hybridMultilevel"/>
    <w:tmpl w:val="8410D402"/>
    <w:lvl w:ilvl="0" w:tplc="A5EA9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A1303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70A3D"/>
    <w:multiLevelType w:val="hybridMultilevel"/>
    <w:tmpl w:val="CDC0E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22FAA"/>
    <w:multiLevelType w:val="hybridMultilevel"/>
    <w:tmpl w:val="8174A66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1F5F42"/>
    <w:multiLevelType w:val="hybridMultilevel"/>
    <w:tmpl w:val="2E9A1018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F46B8"/>
    <w:multiLevelType w:val="hybridMultilevel"/>
    <w:tmpl w:val="632AC79A"/>
    <w:lvl w:ilvl="0" w:tplc="4492F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F14"/>
    <w:multiLevelType w:val="hybridMultilevel"/>
    <w:tmpl w:val="F5F8EF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685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ahoma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D2B75"/>
    <w:multiLevelType w:val="hybridMultilevel"/>
    <w:tmpl w:val="D28CE7D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F1469"/>
    <w:multiLevelType w:val="hybridMultilevel"/>
    <w:tmpl w:val="87649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E34EE"/>
    <w:multiLevelType w:val="hybridMultilevel"/>
    <w:tmpl w:val="9BAEFE6C"/>
    <w:lvl w:ilvl="0" w:tplc="8DA45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75EB7"/>
    <w:multiLevelType w:val="hybridMultilevel"/>
    <w:tmpl w:val="AABC587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EB59BB"/>
    <w:multiLevelType w:val="hybridMultilevel"/>
    <w:tmpl w:val="14BA9344"/>
    <w:lvl w:ilvl="0" w:tplc="23C007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4">
    <w:nsid w:val="55126005"/>
    <w:multiLevelType w:val="hybridMultilevel"/>
    <w:tmpl w:val="F5F8EFC0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C0AE1"/>
    <w:multiLevelType w:val="hybridMultilevel"/>
    <w:tmpl w:val="092666C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E566254"/>
    <w:multiLevelType w:val="hybridMultilevel"/>
    <w:tmpl w:val="FFDC57B6"/>
    <w:lvl w:ilvl="0" w:tplc="24F6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652AB"/>
    <w:multiLevelType w:val="hybridMultilevel"/>
    <w:tmpl w:val="1C36A4C8"/>
    <w:lvl w:ilvl="0" w:tplc="18B4F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8D0337"/>
    <w:multiLevelType w:val="hybridMultilevel"/>
    <w:tmpl w:val="64A47FBE"/>
    <w:lvl w:ilvl="0" w:tplc="ECE6D98C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9">
    <w:nsid w:val="726844E8"/>
    <w:multiLevelType w:val="hybridMultilevel"/>
    <w:tmpl w:val="953EE8F8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75436452"/>
    <w:multiLevelType w:val="hybridMultilevel"/>
    <w:tmpl w:val="E95C0D4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BD55D70"/>
    <w:multiLevelType w:val="hybridMultilevel"/>
    <w:tmpl w:val="D1984E38"/>
    <w:lvl w:ilvl="0" w:tplc="722692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C0234F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8E03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7"/>
  </w:num>
  <w:num w:numId="11">
    <w:abstractNumId w:val="17"/>
  </w:num>
  <w:num w:numId="12">
    <w:abstractNumId w:val="5"/>
  </w:num>
  <w:num w:numId="13">
    <w:abstractNumId w:val="20"/>
  </w:num>
  <w:num w:numId="14">
    <w:abstractNumId w:val="15"/>
  </w:num>
  <w:num w:numId="15">
    <w:abstractNumId w:val="12"/>
  </w:num>
  <w:num w:numId="16">
    <w:abstractNumId w:val="2"/>
  </w:num>
  <w:num w:numId="17">
    <w:abstractNumId w:val="16"/>
  </w:num>
  <w:num w:numId="18">
    <w:abstractNumId w:val="0"/>
  </w:num>
  <w:num w:numId="19">
    <w:abstractNumId w:val="1"/>
  </w:num>
  <w:num w:numId="20">
    <w:abstractNumId w:val="18"/>
  </w:num>
  <w:num w:numId="21">
    <w:abstractNumId w:val="13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173"/>
    <w:rsid w:val="000B59C6"/>
    <w:rsid w:val="000F4785"/>
    <w:rsid w:val="00103DC7"/>
    <w:rsid w:val="00192669"/>
    <w:rsid w:val="00200173"/>
    <w:rsid w:val="002A1483"/>
    <w:rsid w:val="002C3EED"/>
    <w:rsid w:val="002D2BC0"/>
    <w:rsid w:val="002E62E6"/>
    <w:rsid w:val="00417AB4"/>
    <w:rsid w:val="00445A61"/>
    <w:rsid w:val="0044706B"/>
    <w:rsid w:val="00464FEA"/>
    <w:rsid w:val="00470A93"/>
    <w:rsid w:val="004B3A5C"/>
    <w:rsid w:val="00597F1D"/>
    <w:rsid w:val="00725630"/>
    <w:rsid w:val="007357D8"/>
    <w:rsid w:val="00785A1A"/>
    <w:rsid w:val="007B6706"/>
    <w:rsid w:val="00814721"/>
    <w:rsid w:val="008D64A6"/>
    <w:rsid w:val="009B6058"/>
    <w:rsid w:val="00A24EC7"/>
    <w:rsid w:val="00A875F4"/>
    <w:rsid w:val="00AF66DA"/>
    <w:rsid w:val="00B9046D"/>
    <w:rsid w:val="00D055B0"/>
    <w:rsid w:val="00D440BD"/>
    <w:rsid w:val="00DD682D"/>
    <w:rsid w:val="00E1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90"/>
    <w:rPr>
      <w:sz w:val="24"/>
      <w:szCs w:val="24"/>
    </w:rPr>
  </w:style>
  <w:style w:type="paragraph" w:styleId="Ttulo1">
    <w:name w:val="heading 1"/>
    <w:basedOn w:val="Normal"/>
    <w:next w:val="Normal"/>
    <w:qFormat/>
    <w:rsid w:val="00E15D90"/>
    <w:pPr>
      <w:keepNext/>
      <w:jc w:val="center"/>
      <w:outlineLvl w:val="0"/>
    </w:pPr>
    <w:rPr>
      <w:rFonts w:ascii="Verdana" w:hAnsi="Verdana"/>
      <w:b/>
      <w:bCs/>
      <w:sz w:val="16"/>
    </w:rPr>
  </w:style>
  <w:style w:type="paragraph" w:styleId="Ttulo2">
    <w:name w:val="heading 2"/>
    <w:basedOn w:val="Normal"/>
    <w:next w:val="Normal"/>
    <w:qFormat/>
    <w:rsid w:val="00E15D90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qFormat/>
    <w:rsid w:val="00E15D90"/>
    <w:pPr>
      <w:keepNext/>
      <w:jc w:val="center"/>
      <w:outlineLvl w:val="2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5D90"/>
    <w:pPr>
      <w:jc w:val="center"/>
    </w:pPr>
    <w:rPr>
      <w:rFonts w:ascii="Verdana" w:hAnsi="Verdana" w:cs="Arial"/>
      <w:sz w:val="20"/>
    </w:rPr>
  </w:style>
  <w:style w:type="paragraph" w:styleId="Corpodetexto2">
    <w:name w:val="Body Text 2"/>
    <w:basedOn w:val="Normal"/>
    <w:semiHidden/>
    <w:rsid w:val="00E15D90"/>
    <w:rPr>
      <w:rFonts w:ascii="Verdana" w:hAnsi="Verdana"/>
      <w:sz w:val="18"/>
      <w:lang w:val="es-PE"/>
    </w:rPr>
  </w:style>
  <w:style w:type="character" w:styleId="Refdecomentrio">
    <w:name w:val="annotation reference"/>
    <w:basedOn w:val="Fontepargpadro"/>
    <w:semiHidden/>
    <w:rsid w:val="00E15D90"/>
    <w:rPr>
      <w:sz w:val="16"/>
      <w:szCs w:val="16"/>
    </w:rPr>
  </w:style>
  <w:style w:type="paragraph" w:styleId="Textodecomentrio">
    <w:name w:val="annotation text"/>
    <w:basedOn w:val="Normal"/>
    <w:semiHidden/>
    <w:rsid w:val="00E15D90"/>
    <w:rPr>
      <w:sz w:val="20"/>
      <w:szCs w:val="20"/>
    </w:rPr>
  </w:style>
  <w:style w:type="character" w:styleId="Hyperlink">
    <w:name w:val="Hyperlink"/>
    <w:basedOn w:val="Fontepargpadro"/>
    <w:semiHidden/>
    <w:rsid w:val="00E15D90"/>
    <w:rPr>
      <w:color w:val="0000FF"/>
      <w:u w:val="single"/>
    </w:rPr>
  </w:style>
  <w:style w:type="paragraph" w:customStyle="1" w:styleId="texto">
    <w:name w:val="texto"/>
    <w:basedOn w:val="Normal"/>
    <w:rsid w:val="00E15D90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17"/>
      <w:szCs w:val="17"/>
    </w:rPr>
  </w:style>
  <w:style w:type="paragraph" w:styleId="Corpodetexto3">
    <w:name w:val="Body Text 3"/>
    <w:basedOn w:val="Normal"/>
    <w:semiHidden/>
    <w:rsid w:val="00E15D90"/>
    <w:pPr>
      <w:jc w:val="center"/>
    </w:pPr>
    <w:rPr>
      <w:rFonts w:ascii="Verdana" w:hAnsi="Verdana"/>
      <w:sz w:val="18"/>
    </w:rPr>
  </w:style>
  <w:style w:type="paragraph" w:styleId="Cabealho">
    <w:name w:val="header"/>
    <w:basedOn w:val="Normal"/>
    <w:semiHidden/>
    <w:rsid w:val="00E15D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15D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15D90"/>
  </w:style>
  <w:style w:type="paragraph" w:styleId="Ttulo">
    <w:name w:val="Title"/>
    <w:basedOn w:val="Normal"/>
    <w:qFormat/>
    <w:rsid w:val="00E15D90"/>
    <w:pPr>
      <w:jc w:val="center"/>
    </w:pPr>
    <w:rPr>
      <w:rFonts w:ascii="Tahoma" w:hAnsi="Tahoma" w:cs="Tahoma"/>
      <w:b/>
      <w:bCs/>
      <w:sz w:val="32"/>
    </w:rPr>
  </w:style>
  <w:style w:type="paragraph" w:styleId="Subttulo">
    <w:name w:val="Subtitle"/>
    <w:basedOn w:val="Normal"/>
    <w:qFormat/>
    <w:rsid w:val="00E15D90"/>
    <w:rPr>
      <w:rFonts w:ascii="Tahoma" w:hAnsi="Tahoma" w:cs="Tahoma"/>
      <w:sz w:val="32"/>
    </w:rPr>
  </w:style>
  <w:style w:type="paragraph" w:styleId="Recuodecorpodetexto">
    <w:name w:val="Body Text Indent"/>
    <w:basedOn w:val="Normal"/>
    <w:semiHidden/>
    <w:rsid w:val="00E15D90"/>
    <w:pPr>
      <w:ind w:left="720" w:hanging="360"/>
    </w:pPr>
    <w:rPr>
      <w:rFonts w:ascii="Tahoma" w:hAnsi="Tahoma" w:cs="Tahoma"/>
      <w:szCs w:val="20"/>
      <w:lang w:val="es-PE"/>
    </w:rPr>
  </w:style>
  <w:style w:type="paragraph" w:styleId="Recuodecorpodetexto2">
    <w:name w:val="Body Text Indent 2"/>
    <w:basedOn w:val="Normal"/>
    <w:semiHidden/>
    <w:rsid w:val="00E15D90"/>
    <w:pPr>
      <w:ind w:left="360"/>
    </w:pPr>
    <w:rPr>
      <w:rFonts w:ascii="Tahoma" w:hAnsi="Tahoma" w:cs="Tahoma"/>
      <w:szCs w:val="20"/>
      <w:lang w:val="es-PE"/>
    </w:rPr>
  </w:style>
  <w:style w:type="character" w:styleId="Forte">
    <w:name w:val="Strong"/>
    <w:basedOn w:val="Fontepargpadro"/>
    <w:qFormat/>
    <w:rsid w:val="00E15D90"/>
    <w:rPr>
      <w:b/>
      <w:bCs/>
    </w:rPr>
  </w:style>
  <w:style w:type="character" w:customStyle="1" w:styleId="fecha1">
    <w:name w:val="fecha1"/>
    <w:basedOn w:val="Fontepargpadro"/>
    <w:rsid w:val="00E15D90"/>
    <w:rPr>
      <w:color w:val="7F7F7F"/>
    </w:rPr>
  </w:style>
  <w:style w:type="character" w:customStyle="1" w:styleId="style11">
    <w:name w:val="style11"/>
    <w:basedOn w:val="Fontepargpadro"/>
    <w:rsid w:val="00E15D90"/>
    <w:rPr>
      <w:sz w:val="18"/>
      <w:szCs w:val="18"/>
    </w:rPr>
  </w:style>
  <w:style w:type="character" w:customStyle="1" w:styleId="style41">
    <w:name w:val="style41"/>
    <w:basedOn w:val="Fontepargpadro"/>
    <w:rsid w:val="00E15D90"/>
    <w:rPr>
      <w:rFonts w:ascii="Arial" w:hAnsi="Arial" w:cs="Arial" w:hint="default"/>
      <w:b/>
      <w:bCs/>
      <w:color w:val="3300CC"/>
      <w:sz w:val="18"/>
      <w:szCs w:val="18"/>
    </w:rPr>
  </w:style>
  <w:style w:type="paragraph" w:styleId="NormalWeb">
    <w:name w:val="Normal (Web)"/>
    <w:basedOn w:val="Normal"/>
    <w:semiHidden/>
    <w:rsid w:val="00E15D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semiHidden/>
    <w:rsid w:val="00E15D90"/>
    <w:rPr>
      <w:color w:val="800080"/>
      <w:u w:val="single"/>
    </w:rPr>
  </w:style>
  <w:style w:type="paragraph" w:customStyle="1" w:styleId="Normal1">
    <w:name w:val="Normal1"/>
    <w:rsid w:val="00E15D90"/>
    <w:rPr>
      <w:color w:val="000000"/>
      <w:sz w:val="24"/>
      <w:szCs w:val="22"/>
    </w:rPr>
  </w:style>
  <w:style w:type="paragraph" w:customStyle="1" w:styleId="yiv5429518984msonormal">
    <w:name w:val="yiv5429518984msonormal"/>
    <w:basedOn w:val="Normal"/>
    <w:rsid w:val="00E15D90"/>
    <w:pPr>
      <w:spacing w:before="100" w:beforeAutospacing="1" w:after="100" w:afterAutospacing="1"/>
    </w:pPr>
  </w:style>
  <w:style w:type="paragraph" w:customStyle="1" w:styleId="Default">
    <w:name w:val="Default"/>
    <w:rsid w:val="00E15D9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E15D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Recuodecorpodetexto3">
    <w:name w:val="Body Text Indent 3"/>
    <w:basedOn w:val="Normal"/>
    <w:semiHidden/>
    <w:rsid w:val="00E15D90"/>
    <w:pPr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PargrafodaLista">
    <w:name w:val="List Paragraph"/>
    <w:basedOn w:val="Normal"/>
    <w:uiPriority w:val="34"/>
    <w:qFormat/>
    <w:rsid w:val="007B6706"/>
    <w:pPr>
      <w:ind w:left="708"/>
    </w:pPr>
  </w:style>
  <w:style w:type="table" w:styleId="Tabelacomgrade">
    <w:name w:val="Table Grid"/>
    <w:basedOn w:val="Tabelanormal"/>
    <w:uiPriority w:val="59"/>
    <w:rsid w:val="007B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7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5F4"/>
    <w:rPr>
      <w:rFonts w:ascii="Tahoma" w:hAnsi="Tahoma" w:cs="Tahoma"/>
      <w:sz w:val="16"/>
      <w:szCs w:val="16"/>
    </w:rPr>
  </w:style>
  <w:style w:type="paragraph" w:customStyle="1" w:styleId="PargrafodaLista2">
    <w:name w:val="Parágrafo da Lista2"/>
    <w:basedOn w:val="Normal"/>
    <w:rsid w:val="002A148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Instituição que está sendo oficializada na RETS/Contato</vt:lpstr>
    </vt:vector>
  </TitlesOfParts>
  <Company>Fiocruz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Instituição que está sendo oficializada na RETS/Contato</dc:title>
  <dc:creator>Epsjv</dc:creator>
  <cp:lastModifiedBy>Jean Pierre</cp:lastModifiedBy>
  <cp:revision>10</cp:revision>
  <cp:lastPrinted>2014-04-06T13:52:00Z</cp:lastPrinted>
  <dcterms:created xsi:type="dcterms:W3CDTF">2015-03-10T19:47:00Z</dcterms:created>
  <dcterms:modified xsi:type="dcterms:W3CDTF">2015-03-21T22:05:00Z</dcterms:modified>
</cp:coreProperties>
</file>